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E65" w:rsidRDefault="00037E65" w:rsidP="00037E65">
      <w:pPr>
        <w:spacing w:after="0" w:line="240" w:lineRule="auto"/>
        <w:jc w:val="right"/>
      </w:pP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147955</wp:posOffset>
            </wp:positionV>
            <wp:extent cx="2162175" cy="485775"/>
            <wp:effectExtent l="0" t="0" r="0" b="0"/>
            <wp:wrapTight wrapText="bothSides">
              <wp:wrapPolygon edited="0">
                <wp:start x="0" y="0"/>
                <wp:lineTo x="0" y="21176"/>
                <wp:lineTo x="21505" y="21176"/>
                <wp:lineTo x="21505" y="0"/>
                <wp:lineTo x="0" y="0"/>
              </wp:wrapPolygon>
            </wp:wrapTight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t>IN4703 - Gestión de Operaciones I</w:t>
      </w:r>
    </w:p>
    <w:p w:rsidR="00037E65" w:rsidRDefault="00037E65" w:rsidP="00037E65">
      <w:pPr>
        <w:spacing w:after="0" w:line="240" w:lineRule="auto"/>
        <w:jc w:val="right"/>
      </w:pPr>
      <w:r>
        <w:t xml:space="preserve">Profesores: Andrés </w:t>
      </w:r>
      <w:proofErr w:type="spellStart"/>
      <w:r>
        <w:t>Weintraub</w:t>
      </w:r>
      <w:proofErr w:type="spellEnd"/>
      <w:r>
        <w:t>, Fabián Medel</w:t>
      </w:r>
    </w:p>
    <w:p w:rsidR="00037E65" w:rsidRDefault="00037E65" w:rsidP="00037E65">
      <w:pPr>
        <w:spacing w:after="0" w:line="240" w:lineRule="auto"/>
        <w:jc w:val="right"/>
      </w:pPr>
      <w:r>
        <w:t>Auxiliares: Valeria Núñez, Matías Siebert</w:t>
      </w:r>
    </w:p>
    <w:p w:rsidR="00037E65" w:rsidRDefault="00037E65" w:rsidP="00037E65">
      <w:pPr>
        <w:spacing w:after="0" w:line="240" w:lineRule="auto"/>
        <w:jc w:val="right"/>
      </w:pPr>
    </w:p>
    <w:p w:rsidR="00037E65" w:rsidRDefault="00037E65" w:rsidP="00037E65">
      <w:pPr>
        <w:spacing w:after="0" w:line="240" w:lineRule="auto"/>
        <w:jc w:val="center"/>
        <w:rPr>
          <w:sz w:val="36"/>
        </w:rPr>
      </w:pPr>
      <w:r>
        <w:rPr>
          <w:sz w:val="36"/>
        </w:rPr>
        <w:t xml:space="preserve">Auxiliar Extra Control </w:t>
      </w:r>
      <w:r w:rsidR="00BE5CB9">
        <w:rPr>
          <w:sz w:val="36"/>
        </w:rPr>
        <w:t>3</w:t>
      </w:r>
      <w:r>
        <w:rPr>
          <w:sz w:val="36"/>
        </w:rPr>
        <w:t xml:space="preserve">: </w:t>
      </w:r>
      <w:r w:rsidR="002E3284">
        <w:rPr>
          <w:sz w:val="36"/>
        </w:rPr>
        <w:t>Inventarios</w:t>
      </w:r>
      <w:r w:rsidR="00BE5CB9">
        <w:rPr>
          <w:sz w:val="36"/>
        </w:rPr>
        <w:t xml:space="preserve"> y Cadena de Suministro</w:t>
      </w:r>
    </w:p>
    <w:p w:rsidR="00037E65" w:rsidRPr="00C71FCA" w:rsidRDefault="007A768B" w:rsidP="00037E65">
      <w:pPr>
        <w:spacing w:after="0" w:line="240" w:lineRule="auto"/>
        <w:jc w:val="center"/>
        <w:rPr>
          <w:sz w:val="24"/>
        </w:rPr>
      </w:pPr>
      <w:r>
        <w:rPr>
          <w:sz w:val="24"/>
        </w:rPr>
        <w:t>Martes</w:t>
      </w:r>
      <w:r w:rsidR="00037E65" w:rsidRPr="00C71FCA">
        <w:rPr>
          <w:sz w:val="24"/>
        </w:rPr>
        <w:t xml:space="preserve"> </w:t>
      </w:r>
      <w:r w:rsidR="00BE5CB9">
        <w:rPr>
          <w:sz w:val="24"/>
        </w:rPr>
        <w:t>3</w:t>
      </w:r>
      <w:r w:rsidR="00037E65" w:rsidRPr="00C71FCA">
        <w:rPr>
          <w:sz w:val="24"/>
        </w:rPr>
        <w:t xml:space="preserve"> de </w:t>
      </w:r>
      <w:r w:rsidR="00BE5CB9">
        <w:rPr>
          <w:sz w:val="24"/>
        </w:rPr>
        <w:t>Enero</w:t>
      </w:r>
      <w:r w:rsidR="00037E65" w:rsidRPr="00C71FCA">
        <w:rPr>
          <w:sz w:val="24"/>
        </w:rPr>
        <w:t xml:space="preserve"> de 201</w:t>
      </w:r>
      <w:r w:rsidR="00BE5CB9">
        <w:rPr>
          <w:sz w:val="24"/>
        </w:rPr>
        <w:t>2</w:t>
      </w:r>
    </w:p>
    <w:p w:rsidR="006139DF" w:rsidRDefault="006139DF"/>
    <w:p w:rsidR="00497476" w:rsidRDefault="00497476" w:rsidP="00497476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P1) </w:t>
      </w:r>
    </w:p>
    <w:p w:rsidR="0017221A" w:rsidRDefault="0017221A" w:rsidP="00497476">
      <w:pPr>
        <w:autoSpaceDE w:val="0"/>
        <w:autoSpaceDN w:val="0"/>
        <w:adjustRightInd w:val="0"/>
        <w:jc w:val="both"/>
      </w:pPr>
      <w:r>
        <w:t xml:space="preserve">La empresa XYZ administra el inventario de su único producto con revisión </w:t>
      </w:r>
      <w:r w:rsidR="00587F6C">
        <w:t>periódica</w:t>
      </w:r>
      <w:r>
        <w:t>.</w:t>
      </w:r>
      <w:r w:rsidR="00587F6C">
        <w:t xml:space="preserve"> </w:t>
      </w:r>
      <w:r>
        <w:t xml:space="preserve">La demanda esperada por día hábil es de 10 unidades y la desviación estándar es 40%. El costo del artículo es $100 por cada unidad puesta en la empresa. </w:t>
      </w:r>
      <w:r w:rsidR="009D0EF0">
        <w:t xml:space="preserve">El costo anual de mantener una unidad en inventario (Costo de capital, depreciación, bodegaje, </w:t>
      </w:r>
      <w:r w:rsidR="003657D8">
        <w:t>seguros,</w:t>
      </w:r>
      <w:r w:rsidR="009D0EF0">
        <w:t xml:space="preserve"> entre otros) es del 20% del costo del artículo</w:t>
      </w:r>
      <w:r w:rsidR="00587F6C">
        <w:t>. Considere que un año tiene 250 días hábiles. Desde que se pone la orden, el pedido demora 4 días hábiles en llegar. El costo fijo por poner un pedido tiene un valor de $10. La empresa desea minimizar el costo total del sistema de inventarios pero garantizando un nivel de servicio del 95%, es decir, que en el 95% de los ciclos no haya quiebres de stock.</w:t>
      </w:r>
    </w:p>
    <w:p w:rsidR="00587F6C" w:rsidRDefault="00587F6C" w:rsidP="00497476">
      <w:pPr>
        <w:autoSpaceDE w:val="0"/>
        <w:autoSpaceDN w:val="0"/>
        <w:adjustRightInd w:val="0"/>
        <w:jc w:val="both"/>
      </w:pPr>
      <w:r>
        <w:rPr>
          <w:b/>
        </w:rPr>
        <w:t>Nota:</w:t>
      </w:r>
      <w:r>
        <w:t xml:space="preserve"> Trabaje con números fraccionarios tanto para la variable tiempo como para la demanda. Es decir, días fraccionarios son admisibles y pedidos fraccionarios también (</w:t>
      </w:r>
      <w:proofErr w:type="spellStart"/>
      <w:r>
        <w:t>ej</w:t>
      </w:r>
      <w:proofErr w:type="spellEnd"/>
      <w:r>
        <w:t>, pueden haber 1,3 pedidos).</w:t>
      </w:r>
    </w:p>
    <w:p w:rsidR="00270A5E" w:rsidRPr="00270A5E" w:rsidRDefault="00270A5E" w:rsidP="00270A5E">
      <w:pPr>
        <w:pStyle w:val="Prrafodelista"/>
        <w:numPr>
          <w:ilvl w:val="0"/>
          <w:numId w:val="4"/>
        </w:numPr>
        <w:autoSpaceDE w:val="0"/>
        <w:autoSpaceDN w:val="0"/>
        <w:adjustRightInd w:val="0"/>
        <w:jc w:val="both"/>
        <w:rPr>
          <w:lang w:val="es-CL"/>
        </w:rPr>
      </w:pPr>
      <w:r w:rsidRPr="00270A5E">
        <w:rPr>
          <w:lang w:val="es-CL"/>
        </w:rPr>
        <w:t>¿Cuál es el per</w:t>
      </w:r>
      <w:r>
        <w:rPr>
          <w:lang w:val="es-CL"/>
        </w:rPr>
        <w:t>í</w:t>
      </w:r>
      <w:r w:rsidRPr="00270A5E">
        <w:rPr>
          <w:lang w:val="es-CL"/>
        </w:rPr>
        <w:t>od</w:t>
      </w:r>
      <w:r>
        <w:rPr>
          <w:lang w:val="es-CL"/>
        </w:rPr>
        <w:t>o</w:t>
      </w:r>
      <w:r w:rsidRPr="00270A5E">
        <w:rPr>
          <w:lang w:val="es-CL"/>
        </w:rPr>
        <w:t xml:space="preserve"> entre revision</w:t>
      </w:r>
      <w:r>
        <w:rPr>
          <w:lang w:val="es-CL"/>
        </w:rPr>
        <w:t>e</w:t>
      </w:r>
      <w:r w:rsidRPr="00270A5E">
        <w:rPr>
          <w:lang w:val="es-CL"/>
        </w:rPr>
        <w:t>s?</w:t>
      </w:r>
    </w:p>
    <w:p w:rsidR="00270A5E" w:rsidRDefault="00270A5E" w:rsidP="00270A5E">
      <w:pPr>
        <w:pStyle w:val="Prrafodelista"/>
        <w:numPr>
          <w:ilvl w:val="0"/>
          <w:numId w:val="4"/>
        </w:numPr>
        <w:autoSpaceDE w:val="0"/>
        <w:autoSpaceDN w:val="0"/>
        <w:adjustRightInd w:val="0"/>
        <w:jc w:val="both"/>
        <w:rPr>
          <w:lang w:val="es-CL"/>
        </w:rPr>
      </w:pPr>
      <w:r>
        <w:rPr>
          <w:lang w:val="es-CL"/>
        </w:rPr>
        <w:t>¿Cuál es el tamaño del inventario meta u objetivo?</w:t>
      </w:r>
    </w:p>
    <w:p w:rsidR="00270A5E" w:rsidRDefault="00BF26CD" w:rsidP="00270A5E">
      <w:pPr>
        <w:pStyle w:val="Prrafodelista"/>
        <w:numPr>
          <w:ilvl w:val="0"/>
          <w:numId w:val="4"/>
        </w:numPr>
        <w:autoSpaceDE w:val="0"/>
        <w:autoSpaceDN w:val="0"/>
        <w:adjustRightInd w:val="0"/>
        <w:jc w:val="both"/>
        <w:rPr>
          <w:lang w:val="es-CL"/>
        </w:rPr>
      </w:pPr>
      <w:r>
        <w:rPr>
          <w:lang w:val="es-CL"/>
        </w:rPr>
        <w:t>¿El tamaño esperado de cada orden?</w:t>
      </w:r>
    </w:p>
    <w:p w:rsidR="00FC05C8" w:rsidRPr="00925FAA" w:rsidRDefault="00FC05C8" w:rsidP="00925FAA">
      <w:pPr>
        <w:pStyle w:val="Prrafodelista"/>
        <w:numPr>
          <w:ilvl w:val="0"/>
          <w:numId w:val="4"/>
        </w:numPr>
        <w:autoSpaceDE w:val="0"/>
        <w:autoSpaceDN w:val="0"/>
        <w:adjustRightInd w:val="0"/>
        <w:jc w:val="both"/>
        <w:rPr>
          <w:lang w:val="es-CL"/>
        </w:rPr>
      </w:pPr>
      <w:r>
        <w:rPr>
          <w:lang w:val="es-CL"/>
        </w:rPr>
        <w:t>¿El costo anual esperado del inventario?</w:t>
      </w:r>
    </w:p>
    <w:p w:rsidR="00497476" w:rsidRDefault="00497476" w:rsidP="00497476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P2</w:t>
      </w:r>
      <w:r w:rsidR="001159E9">
        <w:rPr>
          <w:b/>
        </w:rPr>
        <w:t>)</w:t>
      </w:r>
      <w:r w:rsidR="00E0620C">
        <w:rPr>
          <w:b/>
        </w:rPr>
        <w:t xml:space="preserve"> </w:t>
      </w:r>
      <w:r>
        <w:rPr>
          <w:b/>
        </w:rPr>
        <w:t xml:space="preserve">(Control 3, </w:t>
      </w:r>
      <w:proofErr w:type="gramStart"/>
      <w:r>
        <w:rPr>
          <w:b/>
        </w:rPr>
        <w:t>Otoño</w:t>
      </w:r>
      <w:proofErr w:type="gramEnd"/>
      <w:r>
        <w:rPr>
          <w:b/>
        </w:rPr>
        <w:t xml:space="preserve"> 2010)</w:t>
      </w:r>
    </w:p>
    <w:p w:rsidR="007B0DF0" w:rsidRPr="000310C0" w:rsidRDefault="007B0DF0" w:rsidP="007B0DF0">
      <w:pPr>
        <w:autoSpaceDE w:val="0"/>
        <w:autoSpaceDN w:val="0"/>
        <w:adjustRightInd w:val="0"/>
        <w:jc w:val="both"/>
        <w:rPr>
          <w:rFonts w:ascii="Trebuchet MS" w:hAnsi="Trebuchet MS" w:cs="Calibri"/>
          <w:sz w:val="20"/>
          <w:szCs w:val="20"/>
        </w:rPr>
      </w:pPr>
      <w:r w:rsidRPr="000310C0">
        <w:rPr>
          <w:rFonts w:ascii="Trebuchet MS" w:hAnsi="Trebuchet MS" w:cs="Calibri"/>
          <w:sz w:val="20"/>
          <w:szCs w:val="20"/>
        </w:rPr>
        <w:t xml:space="preserve">Usted pertenece a una famosa consultora especializada en logística y llega a sus manos un proyecto del cual debe hacerse cargo. Una famosa tienda de </w:t>
      </w:r>
      <w:proofErr w:type="spellStart"/>
      <w:r w:rsidRPr="000310C0">
        <w:rPr>
          <w:rFonts w:ascii="Trebuchet MS" w:hAnsi="Trebuchet MS" w:cs="Calibri"/>
          <w:sz w:val="20"/>
          <w:szCs w:val="20"/>
        </w:rPr>
        <w:t>Retail</w:t>
      </w:r>
      <w:proofErr w:type="spellEnd"/>
      <w:r w:rsidRPr="000310C0">
        <w:rPr>
          <w:rFonts w:ascii="Trebuchet MS" w:hAnsi="Trebuchet MS" w:cs="Calibri"/>
          <w:sz w:val="20"/>
          <w:szCs w:val="20"/>
        </w:rPr>
        <w:t xml:space="preserve"> Multinacional posee una complicada cadena de producción la cual está formada por: centros de distribución, bodegas y clientes. </w:t>
      </w:r>
    </w:p>
    <w:p w:rsidR="007B0DF0" w:rsidRDefault="007B0DF0" w:rsidP="007B0DF0">
      <w:pPr>
        <w:autoSpaceDE w:val="0"/>
        <w:autoSpaceDN w:val="0"/>
        <w:adjustRightInd w:val="0"/>
        <w:jc w:val="both"/>
        <w:rPr>
          <w:rFonts w:ascii="Trebuchet MS" w:hAnsi="Trebuchet MS" w:cs="Calibri"/>
          <w:sz w:val="20"/>
          <w:szCs w:val="20"/>
        </w:rPr>
      </w:pPr>
      <w:r w:rsidRPr="000310C0">
        <w:rPr>
          <w:rFonts w:ascii="Trebuchet MS" w:hAnsi="Trebuchet MS" w:cs="Calibri"/>
          <w:sz w:val="20"/>
          <w:szCs w:val="20"/>
        </w:rPr>
        <w:t xml:space="preserve">La cadena tiene </w:t>
      </w:r>
      <w:r w:rsidRPr="000310C0">
        <w:rPr>
          <w:rFonts w:ascii="Trebuchet MS" w:hAnsi="Trebuchet MS" w:cs="Calibri"/>
          <w:i/>
          <w:iCs/>
          <w:sz w:val="20"/>
          <w:szCs w:val="20"/>
        </w:rPr>
        <w:t xml:space="preserve">I </w:t>
      </w:r>
      <w:r w:rsidRPr="000310C0">
        <w:rPr>
          <w:rFonts w:ascii="Trebuchet MS" w:hAnsi="Trebuchet MS" w:cs="Calibri"/>
          <w:sz w:val="20"/>
          <w:szCs w:val="20"/>
        </w:rPr>
        <w:t xml:space="preserve">centros de distribución ubicados en diversas partes del continente. En estos centros se almacenan los </w:t>
      </w:r>
      <w:r w:rsidRPr="000310C0">
        <w:rPr>
          <w:rFonts w:ascii="Trebuchet MS" w:hAnsi="Trebuchet MS" w:cs="Calibri"/>
          <w:i/>
          <w:iCs/>
          <w:sz w:val="20"/>
          <w:szCs w:val="20"/>
        </w:rPr>
        <w:t xml:space="preserve">J </w:t>
      </w:r>
      <w:r w:rsidRPr="000310C0">
        <w:rPr>
          <w:rFonts w:ascii="Trebuchet MS" w:hAnsi="Trebuchet MS" w:cs="Calibri"/>
          <w:sz w:val="20"/>
          <w:szCs w:val="20"/>
        </w:rPr>
        <w:t>productos diferentes que comercializa.</w:t>
      </w:r>
    </w:p>
    <w:p w:rsidR="007B0DF0" w:rsidRPr="000310C0" w:rsidRDefault="007B0DF0" w:rsidP="007B0DF0">
      <w:pPr>
        <w:autoSpaceDE w:val="0"/>
        <w:autoSpaceDN w:val="0"/>
        <w:adjustRightInd w:val="0"/>
        <w:jc w:val="both"/>
        <w:rPr>
          <w:rFonts w:ascii="Trebuchet MS" w:hAnsi="Trebuchet MS" w:cs="Calibri"/>
          <w:sz w:val="20"/>
          <w:szCs w:val="20"/>
        </w:rPr>
      </w:pPr>
      <w:r w:rsidRPr="000310C0">
        <w:rPr>
          <w:rFonts w:ascii="Trebuchet MS" w:hAnsi="Trebuchet MS" w:cs="Calibri"/>
          <w:sz w:val="20"/>
          <w:szCs w:val="20"/>
        </w:rPr>
        <w:t xml:space="preserve">Cada centro de distribución </w:t>
      </w:r>
      <w:r w:rsidRPr="000310C0">
        <w:rPr>
          <w:rFonts w:ascii="Trebuchet MS" w:hAnsi="Trebuchet MS" w:cs="Calibri"/>
          <w:i/>
          <w:iCs/>
          <w:sz w:val="20"/>
          <w:szCs w:val="20"/>
        </w:rPr>
        <w:t xml:space="preserve">i </w:t>
      </w:r>
      <w:r w:rsidRPr="000310C0">
        <w:rPr>
          <w:rFonts w:ascii="Trebuchet MS" w:hAnsi="Trebuchet MS" w:cs="Calibri"/>
          <w:sz w:val="20"/>
          <w:szCs w:val="20"/>
        </w:rPr>
        <w:t>(</w:t>
      </w:r>
      <w:r w:rsidRPr="000310C0">
        <w:rPr>
          <w:rFonts w:ascii="Trebuchet MS" w:hAnsi="Trebuchet MS" w:cs="Calibri"/>
          <w:i/>
          <w:iCs/>
          <w:sz w:val="20"/>
          <w:szCs w:val="20"/>
        </w:rPr>
        <w:t xml:space="preserve">i </w:t>
      </w:r>
      <w:r w:rsidRPr="000310C0">
        <w:rPr>
          <w:rFonts w:ascii="Trebuchet MS" w:hAnsi="Trebuchet MS" w:cs="Calibri"/>
          <w:sz w:val="20"/>
          <w:szCs w:val="20"/>
        </w:rPr>
        <w:t>= 1</w:t>
      </w:r>
      <w:r w:rsidRPr="000310C0">
        <w:rPr>
          <w:rFonts w:ascii="Trebuchet MS" w:hAnsi="Trebuchet MS" w:cs="Calibri"/>
          <w:i/>
          <w:iCs/>
          <w:sz w:val="20"/>
          <w:szCs w:val="20"/>
        </w:rPr>
        <w:t>… I</w:t>
      </w:r>
      <w:r w:rsidRPr="000310C0">
        <w:rPr>
          <w:rFonts w:ascii="Trebuchet MS" w:hAnsi="Trebuchet MS" w:cs="Calibri"/>
          <w:sz w:val="20"/>
          <w:szCs w:val="20"/>
        </w:rPr>
        <w:t xml:space="preserve">) tiene una capacidad de almacenamiento igual a </w:t>
      </w:r>
      <w:proofErr w:type="spellStart"/>
      <w:r w:rsidRPr="000310C0">
        <w:rPr>
          <w:rFonts w:ascii="Trebuchet MS" w:hAnsi="Trebuchet MS" w:cs="Calibri"/>
          <w:i/>
          <w:iCs/>
          <w:sz w:val="20"/>
          <w:szCs w:val="20"/>
        </w:rPr>
        <w:t>R</w:t>
      </w:r>
      <w:r w:rsidRPr="000310C0">
        <w:rPr>
          <w:rFonts w:ascii="Trebuchet MS" w:hAnsi="Trebuchet MS" w:cs="Calibri"/>
          <w:i/>
          <w:iCs/>
          <w:sz w:val="20"/>
          <w:szCs w:val="20"/>
          <w:vertAlign w:val="subscript"/>
        </w:rPr>
        <w:t>ji</w:t>
      </w:r>
      <w:proofErr w:type="spellEnd"/>
      <w:r w:rsidRPr="000310C0">
        <w:rPr>
          <w:rFonts w:ascii="Trebuchet MS" w:hAnsi="Trebuchet MS" w:cs="Calibri"/>
          <w:i/>
          <w:iCs/>
          <w:sz w:val="20"/>
          <w:szCs w:val="20"/>
          <w:vertAlign w:val="subscript"/>
        </w:rPr>
        <w:t xml:space="preserve"> </w:t>
      </w:r>
      <w:r w:rsidRPr="000310C0">
        <w:rPr>
          <w:rFonts w:ascii="Trebuchet MS" w:hAnsi="Trebuchet MS" w:cs="Calibri"/>
          <w:sz w:val="20"/>
          <w:szCs w:val="20"/>
        </w:rPr>
        <w:t xml:space="preserve">toneladas del producto </w:t>
      </w:r>
      <w:r w:rsidRPr="000310C0">
        <w:rPr>
          <w:rFonts w:ascii="Trebuchet MS" w:hAnsi="Trebuchet MS" w:cs="Calibri"/>
          <w:i/>
          <w:iCs/>
          <w:sz w:val="20"/>
          <w:szCs w:val="20"/>
        </w:rPr>
        <w:t xml:space="preserve">j </w:t>
      </w:r>
      <w:r w:rsidRPr="000310C0">
        <w:rPr>
          <w:rFonts w:ascii="Trebuchet MS" w:hAnsi="Trebuchet MS" w:cs="Calibri"/>
          <w:sz w:val="20"/>
          <w:szCs w:val="20"/>
        </w:rPr>
        <w:t>(</w:t>
      </w:r>
      <w:r w:rsidRPr="000310C0">
        <w:rPr>
          <w:rFonts w:ascii="Trebuchet MS" w:hAnsi="Trebuchet MS" w:cs="Calibri"/>
          <w:i/>
          <w:iCs/>
          <w:sz w:val="20"/>
          <w:szCs w:val="20"/>
        </w:rPr>
        <w:t xml:space="preserve">j </w:t>
      </w:r>
      <w:r w:rsidRPr="000310C0">
        <w:rPr>
          <w:rFonts w:ascii="Trebuchet MS" w:hAnsi="Trebuchet MS" w:cs="Calibri"/>
          <w:sz w:val="20"/>
          <w:szCs w:val="20"/>
        </w:rPr>
        <w:t>= 1</w:t>
      </w:r>
      <w:r w:rsidRPr="000310C0">
        <w:rPr>
          <w:rFonts w:ascii="Trebuchet MS" w:hAnsi="Trebuchet MS" w:cs="Calibri"/>
          <w:i/>
          <w:iCs/>
          <w:sz w:val="20"/>
          <w:szCs w:val="20"/>
        </w:rPr>
        <w:t>….J</w:t>
      </w:r>
      <w:r w:rsidRPr="000310C0">
        <w:rPr>
          <w:rFonts w:ascii="Trebuchet MS" w:hAnsi="Trebuchet MS" w:cs="Calibri"/>
          <w:sz w:val="20"/>
          <w:szCs w:val="20"/>
        </w:rPr>
        <w:t xml:space="preserve">). Asuma que el costo fijo de operación del centro de distribución </w:t>
      </w:r>
      <w:r w:rsidRPr="000310C0">
        <w:rPr>
          <w:rFonts w:ascii="Trebuchet MS" w:hAnsi="Trebuchet MS" w:cs="Calibri"/>
          <w:i/>
          <w:iCs/>
          <w:sz w:val="20"/>
          <w:szCs w:val="20"/>
        </w:rPr>
        <w:t xml:space="preserve">i </w:t>
      </w:r>
      <w:r w:rsidRPr="000310C0">
        <w:rPr>
          <w:rFonts w:ascii="Trebuchet MS" w:hAnsi="Trebuchet MS" w:cs="Calibri"/>
          <w:sz w:val="20"/>
          <w:szCs w:val="20"/>
        </w:rPr>
        <w:t xml:space="preserve">es igual a </w:t>
      </w:r>
      <w:proofErr w:type="spellStart"/>
      <w:r w:rsidRPr="000310C0">
        <w:rPr>
          <w:rFonts w:ascii="Trebuchet MS" w:hAnsi="Trebuchet MS" w:cs="Calibri"/>
          <w:i/>
          <w:iCs/>
          <w:sz w:val="20"/>
          <w:szCs w:val="20"/>
        </w:rPr>
        <w:t>CI</w:t>
      </w:r>
      <w:r w:rsidRPr="000310C0">
        <w:rPr>
          <w:rFonts w:ascii="Trebuchet MS" w:hAnsi="Trebuchet MS" w:cs="Calibri"/>
          <w:i/>
          <w:iCs/>
          <w:sz w:val="20"/>
          <w:szCs w:val="20"/>
          <w:vertAlign w:val="subscript"/>
        </w:rPr>
        <w:t>i</w:t>
      </w:r>
      <w:proofErr w:type="spellEnd"/>
      <w:r w:rsidRPr="000310C0">
        <w:rPr>
          <w:rFonts w:ascii="Trebuchet MS" w:hAnsi="Trebuchet MS" w:cs="Calibri"/>
          <w:i/>
          <w:iCs/>
          <w:sz w:val="20"/>
          <w:szCs w:val="20"/>
        </w:rPr>
        <w:t xml:space="preserve"> </w:t>
      </w:r>
      <w:r w:rsidRPr="000310C0">
        <w:rPr>
          <w:rFonts w:ascii="Trebuchet MS" w:hAnsi="Trebuchet MS" w:cs="Calibri"/>
          <w:sz w:val="20"/>
          <w:szCs w:val="20"/>
        </w:rPr>
        <w:t>millones de dólares</w:t>
      </w:r>
      <w:r>
        <w:rPr>
          <w:rFonts w:ascii="Trebuchet MS" w:hAnsi="Trebuchet MS" w:cs="Calibri"/>
          <w:sz w:val="20"/>
          <w:szCs w:val="20"/>
        </w:rPr>
        <w:t>,</w:t>
      </w:r>
      <w:r w:rsidRPr="000310C0">
        <w:rPr>
          <w:rFonts w:ascii="Trebuchet MS" w:hAnsi="Trebuchet MS" w:cs="Calibri"/>
          <w:sz w:val="20"/>
          <w:szCs w:val="20"/>
        </w:rPr>
        <w:t xml:space="preserve"> independiente de la cantidad de producto almacenado.</w:t>
      </w:r>
    </w:p>
    <w:p w:rsidR="007B0DF0" w:rsidRPr="000310C0" w:rsidRDefault="007B0DF0" w:rsidP="007B0DF0">
      <w:pPr>
        <w:autoSpaceDE w:val="0"/>
        <w:autoSpaceDN w:val="0"/>
        <w:adjustRightInd w:val="0"/>
        <w:jc w:val="both"/>
        <w:rPr>
          <w:rFonts w:ascii="Trebuchet MS" w:hAnsi="Trebuchet MS" w:cs="Calibri"/>
          <w:sz w:val="20"/>
          <w:szCs w:val="20"/>
        </w:rPr>
      </w:pPr>
      <w:r w:rsidRPr="000310C0">
        <w:rPr>
          <w:rFonts w:ascii="Trebuchet MS" w:hAnsi="Trebuchet MS" w:cs="Calibri"/>
          <w:sz w:val="20"/>
          <w:szCs w:val="20"/>
        </w:rPr>
        <w:t xml:space="preserve">En segundo lugar, la cadena posee un conjunto de bodegas de menor tamaño, ya construidas, las cuales es posible clasificarlas en dos tipos: </w:t>
      </w:r>
      <w:r w:rsidRPr="000310C0">
        <w:rPr>
          <w:rFonts w:ascii="Trebuchet MS" w:hAnsi="Trebuchet MS" w:cs="Calibri"/>
          <w:i/>
          <w:iCs/>
          <w:sz w:val="20"/>
          <w:szCs w:val="20"/>
        </w:rPr>
        <w:t xml:space="preserve">K </w:t>
      </w:r>
      <w:r w:rsidRPr="000310C0">
        <w:rPr>
          <w:rFonts w:ascii="Trebuchet MS" w:hAnsi="Trebuchet MS" w:cs="Calibri"/>
          <w:sz w:val="20"/>
          <w:szCs w:val="20"/>
        </w:rPr>
        <w:t xml:space="preserve">y </w:t>
      </w:r>
      <w:r w:rsidRPr="000310C0">
        <w:rPr>
          <w:rFonts w:ascii="Trebuchet MS" w:hAnsi="Trebuchet MS" w:cs="Calibri"/>
          <w:i/>
          <w:iCs/>
          <w:sz w:val="20"/>
          <w:szCs w:val="20"/>
        </w:rPr>
        <w:t>T</w:t>
      </w:r>
      <w:r w:rsidRPr="000310C0">
        <w:rPr>
          <w:rFonts w:ascii="Trebuchet MS" w:hAnsi="Trebuchet MS" w:cs="Calibri"/>
          <w:sz w:val="20"/>
          <w:szCs w:val="20"/>
        </w:rPr>
        <w:t xml:space="preserve">. Una bodega del tipo </w:t>
      </w:r>
      <w:r w:rsidRPr="000310C0">
        <w:rPr>
          <w:rFonts w:ascii="Trebuchet MS" w:hAnsi="Trebuchet MS" w:cs="Calibri"/>
          <w:i/>
          <w:iCs/>
          <w:sz w:val="20"/>
          <w:szCs w:val="20"/>
        </w:rPr>
        <w:t>k</w:t>
      </w:r>
      <w:r w:rsidRPr="000310C0">
        <w:rPr>
          <w:rFonts w:ascii="Trebuchet MS" w:eastAsia="MS Gothic" w:hAnsi="MS Gothic" w:cs="MS Gothic"/>
          <w:i/>
          <w:iCs/>
          <w:sz w:val="20"/>
          <w:szCs w:val="20"/>
        </w:rPr>
        <w:t>∈</w:t>
      </w:r>
      <w:r w:rsidRPr="000310C0">
        <w:rPr>
          <w:rFonts w:ascii="Trebuchet MS" w:eastAsia="CMSY10" w:hAnsi="Trebuchet MS" w:cs="Calibri"/>
          <w:i/>
          <w:iCs/>
          <w:sz w:val="20"/>
          <w:szCs w:val="20"/>
        </w:rPr>
        <w:t xml:space="preserve"> </w:t>
      </w:r>
      <w:r w:rsidRPr="000310C0">
        <w:rPr>
          <w:rFonts w:ascii="Trebuchet MS" w:hAnsi="Trebuchet MS" w:cs="Calibri"/>
          <w:i/>
          <w:iCs/>
          <w:sz w:val="20"/>
          <w:szCs w:val="20"/>
        </w:rPr>
        <w:t xml:space="preserve">K </w:t>
      </w:r>
      <w:r w:rsidRPr="000310C0">
        <w:rPr>
          <w:rFonts w:ascii="Trebuchet MS" w:hAnsi="Trebuchet MS" w:cs="Calibri"/>
          <w:sz w:val="20"/>
          <w:szCs w:val="20"/>
        </w:rPr>
        <w:t xml:space="preserve">posee una capacidad de almacenamiento es igual a </w:t>
      </w:r>
      <w:proofErr w:type="spellStart"/>
      <w:r w:rsidRPr="000310C0">
        <w:rPr>
          <w:rFonts w:ascii="Trebuchet MS" w:hAnsi="Trebuchet MS" w:cs="Calibri"/>
          <w:i/>
          <w:iCs/>
          <w:sz w:val="20"/>
          <w:szCs w:val="20"/>
        </w:rPr>
        <w:t>T</w:t>
      </w:r>
      <w:r w:rsidRPr="000310C0">
        <w:rPr>
          <w:rFonts w:ascii="Trebuchet MS" w:hAnsi="Trebuchet MS" w:cs="Calibri"/>
          <w:i/>
          <w:iCs/>
          <w:sz w:val="20"/>
          <w:szCs w:val="20"/>
          <w:vertAlign w:val="subscript"/>
        </w:rPr>
        <w:t>k</w:t>
      </w:r>
      <w:proofErr w:type="spellEnd"/>
      <w:r w:rsidRPr="000310C0">
        <w:rPr>
          <w:rFonts w:ascii="Trebuchet MS" w:hAnsi="Trebuchet MS" w:cs="Calibri"/>
          <w:i/>
          <w:iCs/>
          <w:sz w:val="20"/>
          <w:szCs w:val="20"/>
        </w:rPr>
        <w:t xml:space="preserve"> </w:t>
      </w:r>
      <w:r w:rsidRPr="000310C0">
        <w:rPr>
          <w:rFonts w:ascii="Trebuchet MS" w:hAnsi="Trebuchet MS" w:cs="Calibri"/>
          <w:sz w:val="20"/>
          <w:szCs w:val="20"/>
        </w:rPr>
        <w:t xml:space="preserve">toneladas. Considere que una bodega del tipo </w:t>
      </w:r>
      <w:r w:rsidRPr="000310C0">
        <w:rPr>
          <w:rFonts w:ascii="Trebuchet MS" w:hAnsi="Trebuchet MS" w:cs="Calibri"/>
          <w:i/>
          <w:iCs/>
          <w:sz w:val="20"/>
          <w:szCs w:val="20"/>
        </w:rPr>
        <w:t xml:space="preserve">k </w:t>
      </w:r>
      <w:r w:rsidRPr="000310C0">
        <w:rPr>
          <w:rFonts w:ascii="Trebuchet MS" w:eastAsia="MS Gothic" w:hAnsi="MS Gothic" w:cs="MS Gothic"/>
          <w:i/>
          <w:iCs/>
          <w:sz w:val="20"/>
          <w:szCs w:val="20"/>
        </w:rPr>
        <w:t>∈</w:t>
      </w:r>
      <w:r w:rsidRPr="000310C0">
        <w:rPr>
          <w:rFonts w:ascii="Trebuchet MS" w:eastAsia="CMSY10" w:hAnsi="Trebuchet MS" w:cs="Calibri"/>
          <w:i/>
          <w:iCs/>
          <w:sz w:val="20"/>
          <w:szCs w:val="20"/>
        </w:rPr>
        <w:t xml:space="preserve">    </w:t>
      </w:r>
      <w:r w:rsidRPr="000310C0">
        <w:rPr>
          <w:rFonts w:ascii="Trebuchet MS" w:hAnsi="Trebuchet MS" w:cs="Calibri"/>
          <w:i/>
          <w:iCs/>
          <w:sz w:val="20"/>
          <w:szCs w:val="20"/>
        </w:rPr>
        <w:t xml:space="preserve">K </w:t>
      </w:r>
      <w:r w:rsidRPr="000310C0">
        <w:rPr>
          <w:rFonts w:ascii="Trebuchet MS" w:hAnsi="Trebuchet MS" w:cs="Calibri"/>
          <w:sz w:val="20"/>
          <w:szCs w:val="20"/>
        </w:rPr>
        <w:t xml:space="preserve">puede aumentar su capacidad de almacenamiento mediante una ampliación que le otorga </w:t>
      </w:r>
      <w:proofErr w:type="spellStart"/>
      <w:r w:rsidRPr="000310C0">
        <w:rPr>
          <w:rFonts w:ascii="Trebuchet MS" w:hAnsi="Trebuchet MS" w:cs="Calibri"/>
          <w:i/>
          <w:iCs/>
          <w:sz w:val="20"/>
          <w:szCs w:val="20"/>
        </w:rPr>
        <w:t>U</w:t>
      </w:r>
      <w:r w:rsidRPr="000310C0">
        <w:rPr>
          <w:rFonts w:ascii="Trebuchet MS" w:hAnsi="Trebuchet MS" w:cs="Calibri"/>
          <w:i/>
          <w:iCs/>
          <w:sz w:val="20"/>
          <w:szCs w:val="20"/>
          <w:vertAlign w:val="subscript"/>
        </w:rPr>
        <w:t>k</w:t>
      </w:r>
      <w:proofErr w:type="spellEnd"/>
      <w:r w:rsidRPr="000310C0">
        <w:rPr>
          <w:rFonts w:ascii="Trebuchet MS" w:hAnsi="Trebuchet MS" w:cs="Calibri"/>
          <w:i/>
          <w:iCs/>
          <w:sz w:val="20"/>
          <w:szCs w:val="20"/>
        </w:rPr>
        <w:t xml:space="preserve"> </w:t>
      </w:r>
      <w:r w:rsidRPr="000310C0">
        <w:rPr>
          <w:rFonts w:ascii="Trebuchet MS" w:hAnsi="Trebuchet MS" w:cs="Calibri"/>
          <w:sz w:val="20"/>
          <w:szCs w:val="20"/>
        </w:rPr>
        <w:t xml:space="preserve">toneladas </w:t>
      </w:r>
      <w:r w:rsidRPr="000310C0">
        <w:rPr>
          <w:rFonts w:ascii="Trebuchet MS" w:hAnsi="Trebuchet MS" w:cs="Calibri"/>
          <w:sz w:val="20"/>
          <w:szCs w:val="20"/>
        </w:rPr>
        <w:lastRenderedPageBreak/>
        <w:t xml:space="preserve">adicionales. Esta ampliación tiene un costo fijo igual a </w:t>
      </w:r>
      <w:proofErr w:type="spellStart"/>
      <w:r w:rsidRPr="000310C0">
        <w:rPr>
          <w:rFonts w:ascii="Trebuchet MS" w:hAnsi="Trebuchet MS" w:cs="Calibri"/>
          <w:i/>
          <w:iCs/>
          <w:sz w:val="20"/>
          <w:szCs w:val="20"/>
        </w:rPr>
        <w:t>C</w:t>
      </w:r>
      <w:r w:rsidRPr="000310C0">
        <w:rPr>
          <w:rFonts w:ascii="Trebuchet MS" w:hAnsi="Trebuchet MS" w:cs="Calibri"/>
          <w:i/>
          <w:iCs/>
          <w:sz w:val="20"/>
          <w:szCs w:val="20"/>
          <w:vertAlign w:val="subscript"/>
        </w:rPr>
        <w:t>k</w:t>
      </w:r>
      <w:proofErr w:type="spellEnd"/>
      <w:r w:rsidRPr="000310C0">
        <w:rPr>
          <w:rFonts w:ascii="Trebuchet MS" w:hAnsi="Trebuchet MS" w:cs="Calibri"/>
          <w:i/>
          <w:iCs/>
          <w:sz w:val="20"/>
          <w:szCs w:val="20"/>
          <w:vertAlign w:val="subscript"/>
        </w:rPr>
        <w:t xml:space="preserve"> </w:t>
      </w:r>
      <w:r w:rsidRPr="000310C0">
        <w:rPr>
          <w:rFonts w:ascii="Trebuchet MS" w:hAnsi="Trebuchet MS" w:cs="Calibri"/>
          <w:sz w:val="20"/>
          <w:szCs w:val="20"/>
        </w:rPr>
        <w:t xml:space="preserve">millones de dólares. Respecto de las bodegas de tipo </w:t>
      </w:r>
      <w:r w:rsidRPr="000310C0">
        <w:rPr>
          <w:rFonts w:ascii="Trebuchet MS" w:hAnsi="Trebuchet MS" w:cs="Calibri"/>
          <w:i/>
          <w:iCs/>
          <w:sz w:val="20"/>
          <w:szCs w:val="20"/>
        </w:rPr>
        <w:t>t</w:t>
      </w:r>
      <w:r w:rsidRPr="000310C0">
        <w:rPr>
          <w:rFonts w:ascii="Trebuchet MS" w:eastAsia="MS Gothic" w:hAnsi="MS Gothic" w:cs="MS Gothic"/>
          <w:i/>
          <w:iCs/>
          <w:sz w:val="20"/>
          <w:szCs w:val="20"/>
        </w:rPr>
        <w:t>∈</w:t>
      </w:r>
      <w:r w:rsidRPr="000310C0">
        <w:rPr>
          <w:rFonts w:ascii="Trebuchet MS" w:eastAsia="CMSY10" w:hAnsi="Trebuchet MS" w:cs="Calibri"/>
          <w:i/>
          <w:iCs/>
          <w:sz w:val="20"/>
          <w:szCs w:val="20"/>
        </w:rPr>
        <w:t xml:space="preserve"> </w:t>
      </w:r>
      <w:r>
        <w:rPr>
          <w:rFonts w:ascii="Trebuchet MS" w:eastAsia="CMSY10" w:hAnsi="Trebuchet MS" w:cs="Calibri"/>
          <w:i/>
          <w:iCs/>
          <w:sz w:val="20"/>
          <w:szCs w:val="20"/>
        </w:rPr>
        <w:t xml:space="preserve"> </w:t>
      </w:r>
      <w:r w:rsidRPr="000310C0">
        <w:rPr>
          <w:rFonts w:ascii="Trebuchet MS" w:hAnsi="Trebuchet MS" w:cs="Calibri"/>
          <w:i/>
          <w:iCs/>
          <w:sz w:val="20"/>
          <w:szCs w:val="20"/>
        </w:rPr>
        <w:t>T</w:t>
      </w:r>
      <w:r w:rsidRPr="000310C0">
        <w:rPr>
          <w:rFonts w:ascii="Trebuchet MS" w:hAnsi="Trebuchet MS" w:cs="Calibri"/>
          <w:sz w:val="20"/>
          <w:szCs w:val="20"/>
        </w:rPr>
        <w:t xml:space="preserve">, tienen capacidad igual a </w:t>
      </w:r>
      <w:proofErr w:type="spellStart"/>
      <w:r w:rsidRPr="000310C0">
        <w:rPr>
          <w:rFonts w:ascii="Trebuchet MS" w:hAnsi="Trebuchet MS" w:cs="Calibri"/>
          <w:i/>
          <w:iCs/>
          <w:sz w:val="20"/>
          <w:szCs w:val="20"/>
        </w:rPr>
        <w:t>TT</w:t>
      </w:r>
      <w:r w:rsidRPr="000310C0">
        <w:rPr>
          <w:rFonts w:ascii="Trebuchet MS" w:hAnsi="Trebuchet MS" w:cs="Calibri"/>
          <w:i/>
          <w:iCs/>
          <w:sz w:val="20"/>
          <w:szCs w:val="20"/>
          <w:vertAlign w:val="subscript"/>
        </w:rPr>
        <w:t>t</w:t>
      </w:r>
      <w:proofErr w:type="spellEnd"/>
      <w:r w:rsidRPr="000310C0">
        <w:rPr>
          <w:rFonts w:ascii="Trebuchet MS" w:hAnsi="Trebuchet MS" w:cs="Calibri"/>
          <w:i/>
          <w:iCs/>
          <w:sz w:val="20"/>
          <w:szCs w:val="20"/>
        </w:rPr>
        <w:t xml:space="preserve"> </w:t>
      </w:r>
      <w:r w:rsidRPr="000310C0">
        <w:rPr>
          <w:rFonts w:ascii="Trebuchet MS" w:hAnsi="Trebuchet MS" w:cs="Calibri"/>
          <w:sz w:val="20"/>
          <w:szCs w:val="20"/>
        </w:rPr>
        <w:t xml:space="preserve">toneladas. Cabe destacar que este tipo de bodega puede ser vendida obteniendo un beneficio monetario si se decide vender igual a </w:t>
      </w:r>
      <w:proofErr w:type="spellStart"/>
      <w:r w:rsidRPr="000310C0">
        <w:rPr>
          <w:rFonts w:ascii="Trebuchet MS" w:hAnsi="Trebuchet MS" w:cs="Calibri"/>
          <w:i/>
          <w:iCs/>
          <w:sz w:val="20"/>
          <w:szCs w:val="20"/>
        </w:rPr>
        <w:t>rr</w:t>
      </w:r>
      <w:r w:rsidRPr="000310C0">
        <w:rPr>
          <w:rFonts w:ascii="Trebuchet MS" w:hAnsi="Trebuchet MS" w:cs="Calibri"/>
          <w:i/>
          <w:iCs/>
          <w:sz w:val="20"/>
          <w:szCs w:val="20"/>
          <w:vertAlign w:val="subscript"/>
        </w:rPr>
        <w:t>t</w:t>
      </w:r>
      <w:proofErr w:type="spellEnd"/>
      <w:r w:rsidRPr="000310C0">
        <w:rPr>
          <w:rFonts w:ascii="Trebuchet MS" w:hAnsi="Trebuchet MS" w:cs="Calibri"/>
          <w:i/>
          <w:iCs/>
          <w:sz w:val="20"/>
          <w:szCs w:val="20"/>
          <w:vertAlign w:val="subscript"/>
        </w:rPr>
        <w:t xml:space="preserve"> </w:t>
      </w:r>
      <w:r w:rsidRPr="000310C0">
        <w:rPr>
          <w:rFonts w:ascii="Trebuchet MS" w:hAnsi="Trebuchet MS" w:cs="Calibri"/>
          <w:sz w:val="20"/>
          <w:szCs w:val="20"/>
        </w:rPr>
        <w:t>miles de dólares.</w:t>
      </w:r>
    </w:p>
    <w:p w:rsidR="007B0DF0" w:rsidRPr="000310C0" w:rsidRDefault="007B0DF0" w:rsidP="007B0DF0">
      <w:pPr>
        <w:autoSpaceDE w:val="0"/>
        <w:autoSpaceDN w:val="0"/>
        <w:adjustRightInd w:val="0"/>
        <w:jc w:val="both"/>
        <w:rPr>
          <w:rFonts w:ascii="Trebuchet MS" w:hAnsi="Trebuchet MS" w:cs="Calibri"/>
          <w:sz w:val="20"/>
          <w:szCs w:val="20"/>
        </w:rPr>
      </w:pPr>
      <w:r w:rsidRPr="000310C0">
        <w:rPr>
          <w:rFonts w:ascii="Trebuchet MS" w:hAnsi="Trebuchet MS" w:cs="Calibri"/>
          <w:sz w:val="20"/>
          <w:szCs w:val="20"/>
        </w:rPr>
        <w:t xml:space="preserve">Además, considere que existe la posibilidad de construir </w:t>
      </w:r>
      <w:r w:rsidRPr="000310C0">
        <w:rPr>
          <w:rFonts w:ascii="Trebuchet MS" w:hAnsi="Trebuchet MS" w:cs="Calibri"/>
          <w:i/>
          <w:iCs/>
          <w:sz w:val="20"/>
          <w:szCs w:val="20"/>
        </w:rPr>
        <w:t xml:space="preserve">P </w:t>
      </w:r>
      <w:r w:rsidRPr="000310C0">
        <w:rPr>
          <w:rFonts w:ascii="Trebuchet MS" w:hAnsi="Trebuchet MS" w:cs="Calibri"/>
          <w:sz w:val="20"/>
          <w:szCs w:val="20"/>
        </w:rPr>
        <w:t xml:space="preserve">nuevas bodegas en el segundo eslabón. Una bodega del tipo </w:t>
      </w:r>
      <w:r w:rsidRPr="000310C0">
        <w:rPr>
          <w:rFonts w:ascii="Trebuchet MS" w:hAnsi="Trebuchet MS" w:cs="Calibri"/>
          <w:i/>
          <w:iCs/>
          <w:sz w:val="20"/>
          <w:szCs w:val="20"/>
        </w:rPr>
        <w:t>p</w:t>
      </w:r>
      <w:r w:rsidRPr="000310C0">
        <w:rPr>
          <w:rFonts w:ascii="Trebuchet MS" w:eastAsia="MS Gothic" w:hAnsi="MS Gothic" w:cs="MS Gothic"/>
          <w:i/>
          <w:iCs/>
          <w:sz w:val="20"/>
          <w:szCs w:val="20"/>
        </w:rPr>
        <w:t>∈</w:t>
      </w:r>
      <w:r>
        <w:rPr>
          <w:rFonts w:ascii="Trebuchet MS" w:eastAsia="CMSY10" w:hAnsi="Trebuchet MS" w:cs="Calibri"/>
          <w:i/>
          <w:iCs/>
          <w:sz w:val="20"/>
          <w:szCs w:val="20"/>
        </w:rPr>
        <w:t xml:space="preserve"> </w:t>
      </w:r>
      <w:r w:rsidRPr="000310C0">
        <w:rPr>
          <w:rFonts w:ascii="Trebuchet MS" w:hAnsi="Trebuchet MS" w:cs="Calibri"/>
          <w:i/>
          <w:iCs/>
          <w:sz w:val="20"/>
          <w:szCs w:val="20"/>
        </w:rPr>
        <w:t xml:space="preserve">P </w:t>
      </w:r>
      <w:r w:rsidRPr="000310C0">
        <w:rPr>
          <w:rFonts w:ascii="Trebuchet MS" w:hAnsi="Trebuchet MS" w:cs="Calibri"/>
          <w:sz w:val="20"/>
          <w:szCs w:val="20"/>
        </w:rPr>
        <w:t>puede ser construida considerando tres tipos de capacidades: Baja, Media y Alta.</w:t>
      </w:r>
    </w:p>
    <w:p w:rsidR="007B0DF0" w:rsidRPr="000310C0" w:rsidRDefault="007B0DF0" w:rsidP="007B0DF0">
      <w:pPr>
        <w:autoSpaceDE w:val="0"/>
        <w:autoSpaceDN w:val="0"/>
        <w:adjustRightInd w:val="0"/>
        <w:jc w:val="both"/>
        <w:rPr>
          <w:rFonts w:ascii="Trebuchet MS" w:hAnsi="Trebuchet MS" w:cs="Calibri"/>
          <w:sz w:val="20"/>
          <w:szCs w:val="20"/>
        </w:rPr>
      </w:pPr>
      <w:r w:rsidRPr="000310C0">
        <w:rPr>
          <w:rFonts w:ascii="Trebuchet MS" w:hAnsi="Trebuchet MS" w:cs="Calibri"/>
          <w:sz w:val="20"/>
          <w:szCs w:val="20"/>
        </w:rPr>
        <w:t xml:space="preserve">Definiremos el parámetro </w:t>
      </w:r>
      <w:proofErr w:type="spellStart"/>
      <w:r w:rsidRPr="000310C0">
        <w:rPr>
          <w:rFonts w:ascii="Trebuchet MS" w:hAnsi="Trebuchet MS" w:cs="Calibri"/>
          <w:i/>
          <w:iCs/>
          <w:sz w:val="20"/>
          <w:szCs w:val="20"/>
        </w:rPr>
        <w:t>TTT</w:t>
      </w:r>
      <w:r w:rsidRPr="000310C0">
        <w:rPr>
          <w:rFonts w:ascii="Trebuchet MS" w:hAnsi="Trebuchet MS" w:cs="Calibri"/>
          <w:i/>
          <w:iCs/>
          <w:sz w:val="20"/>
          <w:szCs w:val="20"/>
          <w:vertAlign w:val="subscript"/>
        </w:rPr>
        <w:t>pn</w:t>
      </w:r>
      <w:proofErr w:type="spellEnd"/>
      <w:r w:rsidRPr="000310C0">
        <w:rPr>
          <w:rFonts w:ascii="Trebuchet MS" w:hAnsi="Trebuchet MS" w:cs="Calibri"/>
          <w:i/>
          <w:iCs/>
          <w:sz w:val="20"/>
          <w:szCs w:val="20"/>
        </w:rPr>
        <w:t xml:space="preserve"> </w:t>
      </w:r>
      <w:r w:rsidRPr="000310C0">
        <w:rPr>
          <w:rFonts w:ascii="Trebuchet MS" w:hAnsi="Trebuchet MS" w:cs="Calibri"/>
          <w:sz w:val="20"/>
          <w:szCs w:val="20"/>
        </w:rPr>
        <w:t xml:space="preserve">como la capacidad de almacenaje (medida en toneladas) que tendrá la bodega </w:t>
      </w:r>
      <w:r w:rsidRPr="000310C0">
        <w:rPr>
          <w:rFonts w:ascii="Trebuchet MS" w:hAnsi="Trebuchet MS" w:cs="Calibri"/>
          <w:i/>
          <w:iCs/>
          <w:sz w:val="20"/>
          <w:szCs w:val="20"/>
        </w:rPr>
        <w:t xml:space="preserve">p </w:t>
      </w:r>
      <w:r w:rsidRPr="000310C0">
        <w:rPr>
          <w:rFonts w:ascii="Trebuchet MS" w:eastAsia="MS Gothic" w:hAnsi="MS Gothic" w:cs="MS Gothic"/>
          <w:i/>
          <w:iCs/>
          <w:sz w:val="20"/>
          <w:szCs w:val="20"/>
        </w:rPr>
        <w:t>∈</w:t>
      </w:r>
      <w:r>
        <w:rPr>
          <w:rFonts w:ascii="Trebuchet MS" w:eastAsia="CMSY10" w:hAnsi="Trebuchet MS" w:cs="Calibri"/>
          <w:i/>
          <w:iCs/>
          <w:sz w:val="20"/>
          <w:szCs w:val="20"/>
        </w:rPr>
        <w:t xml:space="preserve"> </w:t>
      </w:r>
      <w:r w:rsidRPr="000310C0">
        <w:rPr>
          <w:rFonts w:ascii="Trebuchet MS" w:hAnsi="Trebuchet MS" w:cs="Calibri"/>
          <w:i/>
          <w:iCs/>
          <w:sz w:val="20"/>
          <w:szCs w:val="20"/>
        </w:rPr>
        <w:t xml:space="preserve">P </w:t>
      </w:r>
      <w:r w:rsidRPr="000310C0">
        <w:rPr>
          <w:rFonts w:ascii="Trebuchet MS" w:hAnsi="Trebuchet MS" w:cs="Calibri"/>
          <w:sz w:val="20"/>
          <w:szCs w:val="20"/>
        </w:rPr>
        <w:t xml:space="preserve">si se decide instalar con una capacidad </w:t>
      </w:r>
      <w:r w:rsidRPr="000310C0">
        <w:rPr>
          <w:rFonts w:ascii="Trebuchet MS" w:hAnsi="Trebuchet MS" w:cs="Calibri"/>
          <w:i/>
          <w:iCs/>
          <w:sz w:val="20"/>
          <w:szCs w:val="20"/>
        </w:rPr>
        <w:t xml:space="preserve">n </w:t>
      </w:r>
      <w:r w:rsidRPr="000310C0">
        <w:rPr>
          <w:rFonts w:ascii="Trebuchet MS" w:hAnsi="Trebuchet MS" w:cs="Calibri"/>
          <w:sz w:val="20"/>
          <w:szCs w:val="20"/>
        </w:rPr>
        <w:t>= (</w:t>
      </w:r>
      <w:r w:rsidRPr="000310C0">
        <w:rPr>
          <w:rFonts w:ascii="Trebuchet MS" w:hAnsi="Trebuchet MS" w:cs="Calibri"/>
          <w:i/>
          <w:iCs/>
          <w:sz w:val="20"/>
          <w:szCs w:val="20"/>
        </w:rPr>
        <w:t>Baja;</w:t>
      </w:r>
      <w:r>
        <w:rPr>
          <w:rFonts w:ascii="Trebuchet MS" w:hAnsi="Trebuchet MS" w:cs="Calibri"/>
          <w:i/>
          <w:iCs/>
          <w:sz w:val="20"/>
          <w:szCs w:val="20"/>
        </w:rPr>
        <w:t xml:space="preserve"> </w:t>
      </w:r>
      <w:r w:rsidRPr="000310C0">
        <w:rPr>
          <w:rFonts w:ascii="Trebuchet MS" w:hAnsi="Trebuchet MS" w:cs="Calibri"/>
          <w:i/>
          <w:iCs/>
          <w:sz w:val="20"/>
          <w:szCs w:val="20"/>
        </w:rPr>
        <w:t>Media; Alta</w:t>
      </w:r>
      <w:r w:rsidRPr="000310C0">
        <w:rPr>
          <w:rFonts w:ascii="Trebuchet MS" w:hAnsi="Trebuchet MS" w:cs="Calibri"/>
          <w:sz w:val="20"/>
          <w:szCs w:val="20"/>
        </w:rPr>
        <w:t xml:space="preserve">). El costo asociado a esta decisión será igual a </w:t>
      </w:r>
      <w:proofErr w:type="spellStart"/>
      <w:r w:rsidRPr="000310C0">
        <w:rPr>
          <w:rFonts w:ascii="Trebuchet MS" w:hAnsi="Trebuchet MS" w:cs="Calibri"/>
          <w:i/>
          <w:iCs/>
          <w:sz w:val="20"/>
          <w:szCs w:val="20"/>
        </w:rPr>
        <w:t>CN</w:t>
      </w:r>
      <w:r w:rsidRPr="000310C0">
        <w:rPr>
          <w:rFonts w:ascii="Trebuchet MS" w:hAnsi="Trebuchet MS" w:cs="Calibri"/>
          <w:i/>
          <w:iCs/>
          <w:sz w:val="20"/>
          <w:szCs w:val="20"/>
          <w:vertAlign w:val="subscript"/>
        </w:rPr>
        <w:t>pn</w:t>
      </w:r>
      <w:proofErr w:type="spellEnd"/>
      <w:r w:rsidRPr="000310C0">
        <w:rPr>
          <w:rFonts w:ascii="Trebuchet MS" w:hAnsi="Trebuchet MS" w:cs="Calibri"/>
          <w:i/>
          <w:iCs/>
          <w:sz w:val="20"/>
          <w:szCs w:val="20"/>
        </w:rPr>
        <w:t xml:space="preserve"> </w:t>
      </w:r>
      <w:r w:rsidRPr="000310C0">
        <w:rPr>
          <w:rFonts w:ascii="Trebuchet MS" w:hAnsi="Trebuchet MS" w:cs="Calibri"/>
          <w:sz w:val="20"/>
          <w:szCs w:val="20"/>
        </w:rPr>
        <w:t>miles de dólares.</w:t>
      </w:r>
    </w:p>
    <w:p w:rsidR="007B0DF0" w:rsidRDefault="007B0DF0" w:rsidP="007B0DF0">
      <w:pPr>
        <w:jc w:val="both"/>
        <w:rPr>
          <w:rFonts w:ascii="Trebuchet MS" w:hAnsi="Trebuchet MS" w:cs="Calibri"/>
          <w:sz w:val="20"/>
          <w:szCs w:val="20"/>
        </w:rPr>
      </w:pPr>
      <w:r w:rsidRPr="000310C0">
        <w:rPr>
          <w:rFonts w:ascii="Trebuchet MS" w:hAnsi="Trebuchet MS" w:cs="Calibri"/>
          <w:sz w:val="20"/>
          <w:szCs w:val="20"/>
        </w:rPr>
        <w:t xml:space="preserve">El tercer eslabón está compuesto por un conjunto de F clientes finales a los cuales se debe satisfacer por completo su demanda. De esta forma, la demanda del cliente f </w:t>
      </w:r>
      <w:r w:rsidRPr="000310C0">
        <w:rPr>
          <w:rFonts w:ascii="Trebuchet MS" w:eastAsia="MS Mincho" w:hAnsi="Trebuchet MS" w:cs="Calibri" w:hint="eastAsia"/>
          <w:sz w:val="20"/>
          <w:szCs w:val="20"/>
        </w:rPr>
        <w:t>∈</w:t>
      </w:r>
      <w:r>
        <w:rPr>
          <w:rFonts w:ascii="Trebuchet MS" w:hAnsi="Trebuchet MS" w:cs="Calibri"/>
          <w:sz w:val="20"/>
          <w:szCs w:val="20"/>
        </w:rPr>
        <w:t xml:space="preserve"> </w:t>
      </w:r>
      <w:r w:rsidRPr="000310C0">
        <w:rPr>
          <w:rFonts w:ascii="Trebuchet MS" w:hAnsi="Trebuchet MS" w:cs="Calibri"/>
          <w:sz w:val="20"/>
          <w:szCs w:val="20"/>
        </w:rPr>
        <w:t xml:space="preserve">F por el producto j es igual a </w:t>
      </w:r>
      <w:proofErr w:type="spellStart"/>
      <w:r w:rsidRPr="000310C0">
        <w:rPr>
          <w:rFonts w:ascii="Trebuchet MS" w:hAnsi="Trebuchet MS" w:cs="Calibri"/>
          <w:sz w:val="20"/>
          <w:szCs w:val="20"/>
        </w:rPr>
        <w:t>dfj</w:t>
      </w:r>
      <w:proofErr w:type="spellEnd"/>
      <w:r w:rsidRPr="000310C0">
        <w:rPr>
          <w:rFonts w:ascii="Trebuchet MS" w:hAnsi="Trebuchet MS" w:cs="Calibri"/>
          <w:sz w:val="20"/>
          <w:szCs w:val="20"/>
        </w:rPr>
        <w:t xml:space="preserve"> toneladas. Además, asuma que se conocen con certeza los costos unitarios de transporte (US$/Ton.) desde el centro de distribución i a las bodegas k (</w:t>
      </w:r>
      <w:proofErr w:type="spellStart"/>
      <w:r w:rsidRPr="000310C0">
        <w:rPr>
          <w:rFonts w:ascii="Trebuchet MS" w:hAnsi="Trebuchet MS" w:cs="Calibri"/>
          <w:sz w:val="20"/>
          <w:szCs w:val="20"/>
        </w:rPr>
        <w:t>CXik</w:t>
      </w:r>
      <w:proofErr w:type="spellEnd"/>
      <w:r w:rsidRPr="000310C0">
        <w:rPr>
          <w:rFonts w:ascii="Trebuchet MS" w:hAnsi="Trebuchet MS" w:cs="Calibri"/>
          <w:sz w:val="20"/>
          <w:szCs w:val="20"/>
        </w:rPr>
        <w:t>), a las bodegas t (</w:t>
      </w:r>
      <w:proofErr w:type="spellStart"/>
      <w:r w:rsidRPr="000310C0">
        <w:rPr>
          <w:rFonts w:ascii="Trebuchet MS" w:hAnsi="Trebuchet MS" w:cs="Calibri"/>
          <w:sz w:val="20"/>
          <w:szCs w:val="20"/>
        </w:rPr>
        <w:t>CXXit</w:t>
      </w:r>
      <w:proofErr w:type="spellEnd"/>
      <w:r w:rsidRPr="000310C0">
        <w:rPr>
          <w:rFonts w:ascii="Trebuchet MS" w:hAnsi="Trebuchet MS" w:cs="Calibri"/>
          <w:sz w:val="20"/>
          <w:szCs w:val="20"/>
        </w:rPr>
        <w:t>) y a las bodegas p (</w:t>
      </w:r>
      <w:proofErr w:type="spellStart"/>
      <w:r w:rsidRPr="000310C0">
        <w:rPr>
          <w:rFonts w:ascii="Trebuchet MS" w:hAnsi="Trebuchet MS" w:cs="Calibri"/>
          <w:sz w:val="20"/>
          <w:szCs w:val="20"/>
        </w:rPr>
        <w:t>CXXXip</w:t>
      </w:r>
      <w:proofErr w:type="spellEnd"/>
      <w:r w:rsidRPr="000310C0">
        <w:rPr>
          <w:rFonts w:ascii="Trebuchet MS" w:hAnsi="Trebuchet MS" w:cs="Calibri"/>
          <w:sz w:val="20"/>
          <w:szCs w:val="20"/>
        </w:rPr>
        <w:t>). De igual forma, se conocen los costos unitarios de transporte desde las bodega k (</w:t>
      </w:r>
      <w:proofErr w:type="spellStart"/>
      <w:proofErr w:type="gramStart"/>
      <w:r w:rsidRPr="000310C0">
        <w:rPr>
          <w:rFonts w:ascii="Trebuchet MS" w:hAnsi="Trebuchet MS" w:cs="Calibri"/>
          <w:sz w:val="20"/>
          <w:szCs w:val="20"/>
        </w:rPr>
        <w:t>CYkf</w:t>
      </w:r>
      <w:proofErr w:type="spellEnd"/>
      <w:r w:rsidRPr="000310C0">
        <w:rPr>
          <w:rFonts w:ascii="Trebuchet MS" w:hAnsi="Trebuchet MS" w:cs="Calibri"/>
          <w:sz w:val="20"/>
          <w:szCs w:val="20"/>
        </w:rPr>
        <w:t xml:space="preserve"> )</w:t>
      </w:r>
      <w:proofErr w:type="gramEnd"/>
      <w:r w:rsidRPr="000310C0">
        <w:rPr>
          <w:rFonts w:ascii="Trebuchet MS" w:hAnsi="Trebuchet MS" w:cs="Calibri"/>
          <w:sz w:val="20"/>
          <w:szCs w:val="20"/>
        </w:rPr>
        <w:t>, t (</w:t>
      </w:r>
      <w:proofErr w:type="spellStart"/>
      <w:r w:rsidRPr="000310C0">
        <w:rPr>
          <w:rFonts w:ascii="Trebuchet MS" w:hAnsi="Trebuchet MS" w:cs="Calibri"/>
          <w:sz w:val="20"/>
          <w:szCs w:val="20"/>
        </w:rPr>
        <w:t>CYYtf</w:t>
      </w:r>
      <w:proofErr w:type="spellEnd"/>
      <w:r w:rsidRPr="000310C0">
        <w:rPr>
          <w:rFonts w:ascii="Trebuchet MS" w:hAnsi="Trebuchet MS" w:cs="Calibri"/>
          <w:sz w:val="20"/>
          <w:szCs w:val="20"/>
        </w:rPr>
        <w:t xml:space="preserve"> ) y p (</w:t>
      </w:r>
      <w:proofErr w:type="spellStart"/>
      <w:r w:rsidRPr="000310C0">
        <w:rPr>
          <w:rFonts w:ascii="Trebuchet MS" w:hAnsi="Trebuchet MS" w:cs="Calibri"/>
          <w:sz w:val="20"/>
          <w:szCs w:val="20"/>
        </w:rPr>
        <w:t>CYYYpf</w:t>
      </w:r>
      <w:proofErr w:type="spellEnd"/>
      <w:r w:rsidRPr="000310C0">
        <w:rPr>
          <w:rFonts w:ascii="Trebuchet MS" w:hAnsi="Trebuchet MS" w:cs="Calibri"/>
          <w:sz w:val="20"/>
          <w:szCs w:val="20"/>
        </w:rPr>
        <w:t xml:space="preserve"> ) al cliente f.</w:t>
      </w:r>
    </w:p>
    <w:p w:rsidR="007B0DF0" w:rsidRDefault="007B0DF0" w:rsidP="007B0DF0">
      <w:pPr>
        <w:jc w:val="both"/>
        <w:rPr>
          <w:rFonts w:ascii="Trebuchet MS" w:hAnsi="Trebuchet MS" w:cs="Calibri"/>
          <w:sz w:val="20"/>
          <w:szCs w:val="20"/>
        </w:rPr>
      </w:pPr>
      <w:r w:rsidRPr="000310C0">
        <w:rPr>
          <w:rFonts w:ascii="Trebuchet MS" w:hAnsi="Trebuchet MS" w:cs="Calibri"/>
          <w:sz w:val="20"/>
          <w:szCs w:val="20"/>
        </w:rPr>
        <w:t xml:space="preserve">Es importante mencionar que las bodegas del tipo k </w:t>
      </w:r>
      <w:r w:rsidRPr="000310C0">
        <w:rPr>
          <w:rFonts w:ascii="Trebuchet MS" w:eastAsia="MS Mincho" w:hAnsi="Trebuchet MS" w:cs="Calibri" w:hint="eastAsia"/>
          <w:sz w:val="20"/>
          <w:szCs w:val="20"/>
        </w:rPr>
        <w:t>∈</w:t>
      </w:r>
      <w:r w:rsidRPr="000310C0">
        <w:rPr>
          <w:rFonts w:ascii="Trebuchet MS" w:hAnsi="Trebuchet MS" w:cs="Calibri"/>
          <w:sz w:val="20"/>
          <w:szCs w:val="20"/>
        </w:rPr>
        <w:t xml:space="preserve"> K no se pueden cerrar, siendo sólo posible</w:t>
      </w:r>
      <w:r>
        <w:rPr>
          <w:rFonts w:ascii="Trebuchet MS" w:hAnsi="Trebuchet MS" w:cs="Calibri"/>
          <w:sz w:val="20"/>
          <w:szCs w:val="20"/>
        </w:rPr>
        <w:t xml:space="preserve"> </w:t>
      </w:r>
      <w:r w:rsidRPr="000310C0">
        <w:rPr>
          <w:rFonts w:ascii="Trebuchet MS" w:hAnsi="Trebuchet MS" w:cs="Calibri"/>
          <w:sz w:val="20"/>
          <w:szCs w:val="20"/>
        </w:rPr>
        <w:t xml:space="preserve">ampliarles su capacidad (no debe considerarse su cierre), mientras que las bodegas del tipo t </w:t>
      </w:r>
      <w:r w:rsidRPr="000310C0">
        <w:rPr>
          <w:rFonts w:ascii="Trebuchet MS" w:eastAsia="MS Mincho" w:hAnsi="Trebuchet MS" w:cs="Calibri" w:hint="eastAsia"/>
          <w:sz w:val="20"/>
          <w:szCs w:val="20"/>
        </w:rPr>
        <w:t>∈</w:t>
      </w:r>
      <w:r>
        <w:rPr>
          <w:rFonts w:ascii="Trebuchet MS" w:hAnsi="Trebuchet MS" w:cs="Calibri"/>
          <w:sz w:val="20"/>
          <w:szCs w:val="20"/>
        </w:rPr>
        <w:t xml:space="preserve"> </w:t>
      </w:r>
      <w:r w:rsidRPr="000310C0">
        <w:rPr>
          <w:rFonts w:ascii="Trebuchet MS" w:hAnsi="Trebuchet MS" w:cs="Calibri"/>
          <w:sz w:val="20"/>
          <w:szCs w:val="20"/>
        </w:rPr>
        <w:t xml:space="preserve">T se pueden mantener abiertas o cerradas y, las bodegas de tipo p </w:t>
      </w:r>
      <w:r w:rsidRPr="000310C0">
        <w:rPr>
          <w:rFonts w:ascii="Trebuchet MS" w:eastAsia="MS Mincho" w:hAnsi="Trebuchet MS" w:cs="Calibri" w:hint="eastAsia"/>
          <w:sz w:val="20"/>
          <w:szCs w:val="20"/>
        </w:rPr>
        <w:t>∈</w:t>
      </w:r>
      <w:r>
        <w:rPr>
          <w:rFonts w:ascii="Trebuchet MS" w:hAnsi="Trebuchet MS" w:cs="Calibri"/>
          <w:sz w:val="20"/>
          <w:szCs w:val="20"/>
        </w:rPr>
        <w:t xml:space="preserve"> </w:t>
      </w:r>
      <w:r w:rsidRPr="000310C0">
        <w:rPr>
          <w:rFonts w:ascii="Trebuchet MS" w:hAnsi="Trebuchet MS" w:cs="Calibri"/>
          <w:sz w:val="20"/>
          <w:szCs w:val="20"/>
        </w:rPr>
        <w:t>P sólo pueden ser abiertos utilizando un solo tipo de capacidad (Baja, Media o Alta) no pudiendo ser ampliadas. Además, incorporé que la multinacional no desea operar con más de 8 bodegas en el segundo eslabón, sin considerar las bodegas tipo K, y que no deben existir más de 4 bodegas del mismo tipo n para las bodegas P.</w:t>
      </w:r>
    </w:p>
    <w:sectPr w:rsidR="007B0DF0" w:rsidSect="006139D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MSY10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06D53"/>
    <w:multiLevelType w:val="hybridMultilevel"/>
    <w:tmpl w:val="BDA036C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577F24"/>
    <w:multiLevelType w:val="hybridMultilevel"/>
    <w:tmpl w:val="54ACA8F4"/>
    <w:lvl w:ilvl="0" w:tplc="006C8D2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5" w:hanging="360"/>
      </w:pPr>
    </w:lvl>
    <w:lvl w:ilvl="2" w:tplc="340A001B" w:tentative="1">
      <w:start w:val="1"/>
      <w:numFmt w:val="lowerRoman"/>
      <w:lvlText w:val="%3."/>
      <w:lvlJc w:val="right"/>
      <w:pPr>
        <w:ind w:left="2505" w:hanging="180"/>
      </w:pPr>
    </w:lvl>
    <w:lvl w:ilvl="3" w:tplc="340A000F" w:tentative="1">
      <w:start w:val="1"/>
      <w:numFmt w:val="decimal"/>
      <w:lvlText w:val="%4."/>
      <w:lvlJc w:val="left"/>
      <w:pPr>
        <w:ind w:left="3225" w:hanging="360"/>
      </w:pPr>
    </w:lvl>
    <w:lvl w:ilvl="4" w:tplc="340A0019" w:tentative="1">
      <w:start w:val="1"/>
      <w:numFmt w:val="lowerLetter"/>
      <w:lvlText w:val="%5."/>
      <w:lvlJc w:val="left"/>
      <w:pPr>
        <w:ind w:left="3945" w:hanging="360"/>
      </w:pPr>
    </w:lvl>
    <w:lvl w:ilvl="5" w:tplc="340A001B" w:tentative="1">
      <w:start w:val="1"/>
      <w:numFmt w:val="lowerRoman"/>
      <w:lvlText w:val="%6."/>
      <w:lvlJc w:val="right"/>
      <w:pPr>
        <w:ind w:left="4665" w:hanging="180"/>
      </w:pPr>
    </w:lvl>
    <w:lvl w:ilvl="6" w:tplc="340A000F" w:tentative="1">
      <w:start w:val="1"/>
      <w:numFmt w:val="decimal"/>
      <w:lvlText w:val="%7."/>
      <w:lvlJc w:val="left"/>
      <w:pPr>
        <w:ind w:left="5385" w:hanging="360"/>
      </w:pPr>
    </w:lvl>
    <w:lvl w:ilvl="7" w:tplc="340A0019" w:tentative="1">
      <w:start w:val="1"/>
      <w:numFmt w:val="lowerLetter"/>
      <w:lvlText w:val="%8."/>
      <w:lvlJc w:val="left"/>
      <w:pPr>
        <w:ind w:left="6105" w:hanging="360"/>
      </w:pPr>
    </w:lvl>
    <w:lvl w:ilvl="8" w:tplc="34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A644302"/>
    <w:multiLevelType w:val="hybridMultilevel"/>
    <w:tmpl w:val="AE5CA5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145D11"/>
    <w:multiLevelType w:val="hybridMultilevel"/>
    <w:tmpl w:val="AB36AE9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7E65"/>
    <w:rsid w:val="00037E65"/>
    <w:rsid w:val="001159E9"/>
    <w:rsid w:val="0017221A"/>
    <w:rsid w:val="00270A5E"/>
    <w:rsid w:val="00297DC1"/>
    <w:rsid w:val="002E3284"/>
    <w:rsid w:val="003657D8"/>
    <w:rsid w:val="00497476"/>
    <w:rsid w:val="00587F6C"/>
    <w:rsid w:val="006139DF"/>
    <w:rsid w:val="006B6CDC"/>
    <w:rsid w:val="007025B1"/>
    <w:rsid w:val="0071273C"/>
    <w:rsid w:val="007A768B"/>
    <w:rsid w:val="007B0DF0"/>
    <w:rsid w:val="00925FAA"/>
    <w:rsid w:val="009D0EF0"/>
    <w:rsid w:val="00BE5CB9"/>
    <w:rsid w:val="00BF26CD"/>
    <w:rsid w:val="00D22410"/>
    <w:rsid w:val="00E0620C"/>
    <w:rsid w:val="00FC0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E6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Sombreadoclaro-nfasis1">
    <w:name w:val="Light Shading Accent 1"/>
    <w:basedOn w:val="Tablanormal"/>
    <w:uiPriority w:val="60"/>
    <w:rsid w:val="001159E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rrafodelista">
    <w:name w:val="List Paragraph"/>
    <w:basedOn w:val="Normal"/>
    <w:uiPriority w:val="34"/>
    <w:qFormat/>
    <w:rsid w:val="007B0DF0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B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B0D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666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Matías</dc:creator>
  <cp:lastModifiedBy>Matías</cp:lastModifiedBy>
  <cp:revision>9</cp:revision>
  <dcterms:created xsi:type="dcterms:W3CDTF">2012-01-03T17:37:00Z</dcterms:created>
  <dcterms:modified xsi:type="dcterms:W3CDTF">2012-01-03T23:35:00Z</dcterms:modified>
</cp:coreProperties>
</file>